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A36313" w:rsidRPr="000D63EC" w:rsidTr="00F473AD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0"/>
            </w:tblGrid>
            <w:tr w:rsidR="00A36313" w:rsidRPr="000D63EC" w:rsidTr="006854D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0"/>
                  </w:tblGrid>
                  <w:tr w:rsidR="00A36313" w:rsidRPr="000D63EC" w:rsidTr="006854D1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332FE6" w:rsidRDefault="00332FE6"/>
                      <w:tbl>
                        <w:tblPr>
                          <w:tblpPr w:leftFromText="141" w:rightFromText="141" w:horzAnchor="margin" w:tblpY="855"/>
                          <w:tblOverlap w:val="nev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60"/>
                        </w:tblGrid>
                        <w:tr w:rsidR="00A36313" w:rsidRPr="000D63EC" w:rsidTr="00054829">
                          <w:trPr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36313" w:rsidRPr="00332FE6" w:rsidRDefault="00332FE6" w:rsidP="00332FE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  <w:sz w:val="20"/>
                                  <w:szCs w:val="20"/>
                                  <w:u w:val="single"/>
                                  <w:lang w:eastAsia="es-AR"/>
                                </w:rPr>
                              </w:pPr>
                              <w:r w:rsidRPr="00332FE6">
                                <w:rPr>
                                  <w:rFonts w:eastAsia="Times New Roman"/>
                                  <w:vanish/>
                                  <w:sz w:val="20"/>
                                  <w:szCs w:val="20"/>
                                  <w:u w:val="single"/>
                                  <w:lang w:eastAsia="es-AR"/>
                                </w:rPr>
                                <w:t>INFORMACION IMPORTANTE</w:t>
                              </w:r>
                            </w:p>
                            <w:p w:rsidR="00332FE6" w:rsidRPr="00332FE6" w:rsidRDefault="00332FE6" w:rsidP="00332FE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  <w:sz w:val="20"/>
                                  <w:szCs w:val="20"/>
                                  <w:u w:val="single"/>
                                  <w:lang w:eastAsia="es-AR"/>
                                </w:rPr>
                              </w:pPr>
                              <w:r w:rsidRPr="00332FE6">
                                <w:rPr>
                                  <w:rFonts w:eastAsia="Times New Roman"/>
                                  <w:vanish/>
                                  <w:sz w:val="20"/>
                                  <w:szCs w:val="20"/>
                                  <w:u w:val="single"/>
                                  <w:lang w:eastAsia="es-AR"/>
                                </w:rPr>
                                <w:t>AUMENTO DE CUOTA</w:t>
                              </w:r>
                            </w:p>
                            <w:tbl>
                              <w:tblPr>
                                <w:tblpPr w:leftFromText="141" w:rightFromText="141" w:vertAnchor="page" w:horzAnchor="margin" w:tblpY="1021"/>
                                <w:tblOverlap w:val="nev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0"/>
                              </w:tblGrid>
                              <w:tr w:rsidR="00332FE6" w:rsidRPr="000D63EC" w:rsidTr="00332FE6">
                                <w:tc>
                                  <w:tcPr>
                                    <w:tcW w:w="10760" w:type="dx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332FE6" w:rsidRPr="00BC0DAB" w:rsidRDefault="00332FE6" w:rsidP="00332FE6">
                                    <w:pPr>
                                      <w:spacing w:after="180" w:line="36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Buenos aires, 03 de enero de 2023.</w:t>
                                    </w:r>
                                  </w:p>
                                  <w:p w:rsidR="00332FE6" w:rsidRPr="00A36313" w:rsidRDefault="00332FE6" w:rsidP="00332FE6">
                                    <w:pPr>
                                      <w:spacing w:after="18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b/>
                                        <w:color w:val="333333"/>
                                        <w:sz w:val="20"/>
                                        <w:szCs w:val="20"/>
                                        <w:u w:val="single"/>
                                        <w:lang w:eastAsia="es-AR"/>
                                      </w:rPr>
                                      <w:t>Estimado afiliado: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br/>
                                      <w:t xml:space="preserve">      </w:t>
                                    </w:r>
                                    <w:r w:rsidRPr="00A3631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 Le informamos que por Resolución del Ministerio de Salud, las empresas de Medicina prepaga  incrementaran sus cuotas en forma mensual 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 según el índice de costo de salud, publicado por la Superin</w:t>
                                    </w:r>
                                    <w:r w:rsidRPr="00A3631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tendencia de Servicios de Salud. El 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 porcentaje a aplicar para el mes de 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b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febrero 2023 será de un 8,21% respecto de los valores </w:t>
                                    </w:r>
                                    <w:r w:rsidRPr="00A36313">
                                      <w:rPr>
                                        <w:rFonts w:ascii="Arial" w:eastAsia="Times New Roman" w:hAnsi="Arial" w:cs="Arial"/>
                                        <w:b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 de las cuotas del mes de 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b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enero 2023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.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br/>
                                      <w:t>        También queremos informarte que por el plazo de 18 meses, para aquellos afiliados que posean ingresos netos inferiores a SEIS (6) Salarios Mínimos, Vitales y Móviles,  ($371.718,00), la cuota podrá ser ajustada en un 90% del Índice de Remuneración Imponible Promedio de los Trabajadores Estables (RIPTE) del mes inmediato al anterior publicado. El incremento a aplicar para este primer mes de febrero asciende al 4,91%, respecto de la cuota de enero 2023.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br/>
                                      <w:t>   Para acceder a dicho ajuste, deberás informar con carácter de Declaración Jurada y en forma mensual los ingresos netos de los contratantes del mes anterior, a través del sitio web de la Superintendencia de Servicios de Salud </w:t>
                                    </w:r>
                                    <w:hyperlink r:id="rId7" w:tgtFrame="_blank" w:history="1">
                                      <w:r w:rsidRPr="000D63E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es-AR"/>
                                        </w:rPr>
                                        <w:t>www.sssalud.gob.ar/misssalud/</w:t>
                                      </w:r>
                                    </w:hyperlink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. Cabe aclarar que la falta de veracidad en la declaración jurada será considerada en los términos del Art. 9 de la Ley 26.682 como una causal de rescisión del contrato, además de las acciones legales que pueda corresponder efectuar a la Obra Social por los daños y perjuicios que dicha conducta ocasione.</w:t>
                                    </w:r>
                                  </w:p>
                                  <w:p w:rsidR="00332FE6" w:rsidRPr="000D63EC" w:rsidRDefault="00332FE6" w:rsidP="00332FE6">
                                    <w:pPr>
                                      <w:spacing w:after="18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A3631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N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uestra empresa,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 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continúa día a día brindando más y mejores servicios.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br/>
                                      <w:t xml:space="preserve">Muchas gracias por seguir siendo parte de esta gran familia </w:t>
                                    </w:r>
                                    <w:r w:rsidRPr="00D95E4D">
                                      <w:rPr>
                                        <w:rFonts w:ascii="Arial" w:eastAsia="Times New Roman" w:hAnsi="Arial" w:cs="Arial"/>
                                        <w:b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PROSAL – CRUZ BLANCA.</w:t>
                                    </w:r>
                                  </w:p>
                                  <w:p w:rsidR="00332FE6" w:rsidRPr="000D63EC" w:rsidRDefault="00332FE6" w:rsidP="00332FE6">
                                    <w:pPr>
                                      <w:spacing w:after="18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36313" w:rsidRPr="000D63EC" w:rsidRDefault="00A36313" w:rsidP="00332F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</w:p>
                          </w:tc>
                        </w:tr>
                      </w:tbl>
                      <w:p w:rsidR="00A36313" w:rsidRPr="000D63EC" w:rsidRDefault="00A36313" w:rsidP="006854D1">
                        <w:pPr>
                          <w:jc w:val="center"/>
                          <w:textAlignment w:val="top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AR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A36313" w:rsidRPr="000D63EC" w:rsidRDefault="00A36313" w:rsidP="006854D1">
                  <w:pPr>
                    <w:rPr>
                      <w:rFonts w:eastAsia="Times New Roman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A36313" w:rsidRPr="000D63EC" w:rsidRDefault="00A36313" w:rsidP="006854D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AR"/>
              </w:rPr>
            </w:pPr>
          </w:p>
        </w:tc>
      </w:tr>
    </w:tbl>
    <w:p w:rsidR="00A36313" w:rsidRPr="000D63EC" w:rsidRDefault="00A36313" w:rsidP="00A36313">
      <w:pPr>
        <w:rPr>
          <w:rFonts w:eastAsia="Times New Roman"/>
          <w:vanish/>
          <w:sz w:val="16"/>
          <w:szCs w:val="16"/>
          <w:lang w:eastAsia="es-AR"/>
        </w:rPr>
      </w:pPr>
    </w:p>
    <w:sectPr w:rsidR="00A36313" w:rsidRPr="000D63EC" w:rsidSect="008C4197">
      <w:headerReference w:type="default" r:id="rId8"/>
      <w:type w:val="continuous"/>
      <w:pgSz w:w="11900" w:h="16840" w:code="9"/>
      <w:pgMar w:top="1260" w:right="700" w:bottom="280" w:left="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2A" w:rsidRDefault="00BF4C2A" w:rsidP="00DD424C">
      <w:r>
        <w:separator/>
      </w:r>
    </w:p>
  </w:endnote>
  <w:endnote w:type="continuationSeparator" w:id="0">
    <w:p w:rsidR="00BF4C2A" w:rsidRDefault="00BF4C2A" w:rsidP="00DD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2A" w:rsidRDefault="00BF4C2A" w:rsidP="00DD424C">
      <w:r>
        <w:separator/>
      </w:r>
    </w:p>
  </w:footnote>
  <w:footnote w:type="continuationSeparator" w:id="0">
    <w:p w:rsidR="00BF4C2A" w:rsidRDefault="00BF4C2A" w:rsidP="00DD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4"/>
      <w:gridCol w:w="4049"/>
    </w:tblGrid>
    <w:tr w:rsidR="003A745C" w:rsidTr="003A745C">
      <w:trPr>
        <w:trHeight w:val="583"/>
      </w:trPr>
      <w:tc>
        <w:tcPr>
          <w:tcW w:w="6921" w:type="dxa"/>
        </w:tcPr>
        <w:p w:rsidR="003A745C" w:rsidRDefault="003A745C" w:rsidP="00DD424C">
          <w:pPr>
            <w:pStyle w:val="Encabezado"/>
          </w:pPr>
          <w:r>
            <w:rPr>
              <w:noProof/>
              <w:sz w:val="20"/>
              <w:szCs w:val="20"/>
            </w:rPr>
            <w:drawing>
              <wp:inline distT="0" distB="0" distL="0" distR="0" wp14:anchorId="4070E75C" wp14:editId="46689993">
                <wp:extent cx="1499622" cy="875324"/>
                <wp:effectExtent l="0" t="0" r="5080" b="1270"/>
                <wp:docPr id="8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622" cy="875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2" w:type="dxa"/>
        </w:tcPr>
        <w:p w:rsidR="003A745C" w:rsidRDefault="003A745C" w:rsidP="00DD424C">
          <w:pPr>
            <w:pStyle w:val="Encabezado"/>
          </w:pPr>
          <w:r>
            <w:rPr>
              <w:noProof/>
              <w:position w:val="64"/>
              <w:sz w:val="20"/>
              <w:szCs w:val="20"/>
            </w:rPr>
            <w:drawing>
              <wp:inline distT="0" distB="0" distL="0" distR="0" wp14:anchorId="35D87E7C" wp14:editId="4D792BF8">
                <wp:extent cx="2482540" cy="529621"/>
                <wp:effectExtent l="0" t="0" r="0" b="3810"/>
                <wp:docPr id="9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469" cy="5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24C" w:rsidRPr="00DD424C" w:rsidRDefault="00DD424C" w:rsidP="00DD42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28C"/>
    <w:multiLevelType w:val="hybridMultilevel"/>
    <w:tmpl w:val="C65C41D2"/>
    <w:lvl w:ilvl="0" w:tplc="080A000F">
      <w:start w:val="1"/>
      <w:numFmt w:val="decimal"/>
      <w:lvlText w:val="%1."/>
      <w:lvlJc w:val="left"/>
      <w:pPr>
        <w:ind w:left="1981" w:hanging="360"/>
      </w:pPr>
    </w:lvl>
    <w:lvl w:ilvl="1" w:tplc="080A0019" w:tentative="1">
      <w:start w:val="1"/>
      <w:numFmt w:val="lowerLetter"/>
      <w:lvlText w:val="%2."/>
      <w:lvlJc w:val="left"/>
      <w:pPr>
        <w:ind w:left="2701" w:hanging="360"/>
      </w:pPr>
    </w:lvl>
    <w:lvl w:ilvl="2" w:tplc="080A001B" w:tentative="1">
      <w:start w:val="1"/>
      <w:numFmt w:val="lowerRoman"/>
      <w:lvlText w:val="%3."/>
      <w:lvlJc w:val="right"/>
      <w:pPr>
        <w:ind w:left="3421" w:hanging="180"/>
      </w:pPr>
    </w:lvl>
    <w:lvl w:ilvl="3" w:tplc="080A000F" w:tentative="1">
      <w:start w:val="1"/>
      <w:numFmt w:val="decimal"/>
      <w:lvlText w:val="%4."/>
      <w:lvlJc w:val="left"/>
      <w:pPr>
        <w:ind w:left="4141" w:hanging="360"/>
      </w:pPr>
    </w:lvl>
    <w:lvl w:ilvl="4" w:tplc="080A0019" w:tentative="1">
      <w:start w:val="1"/>
      <w:numFmt w:val="lowerLetter"/>
      <w:lvlText w:val="%5."/>
      <w:lvlJc w:val="left"/>
      <w:pPr>
        <w:ind w:left="4861" w:hanging="360"/>
      </w:pPr>
    </w:lvl>
    <w:lvl w:ilvl="5" w:tplc="080A001B" w:tentative="1">
      <w:start w:val="1"/>
      <w:numFmt w:val="lowerRoman"/>
      <w:lvlText w:val="%6."/>
      <w:lvlJc w:val="right"/>
      <w:pPr>
        <w:ind w:left="5581" w:hanging="180"/>
      </w:pPr>
    </w:lvl>
    <w:lvl w:ilvl="6" w:tplc="080A000F" w:tentative="1">
      <w:start w:val="1"/>
      <w:numFmt w:val="decimal"/>
      <w:lvlText w:val="%7."/>
      <w:lvlJc w:val="left"/>
      <w:pPr>
        <w:ind w:left="6301" w:hanging="360"/>
      </w:pPr>
    </w:lvl>
    <w:lvl w:ilvl="7" w:tplc="080A0019" w:tentative="1">
      <w:start w:val="1"/>
      <w:numFmt w:val="lowerLetter"/>
      <w:lvlText w:val="%8."/>
      <w:lvlJc w:val="left"/>
      <w:pPr>
        <w:ind w:left="7021" w:hanging="360"/>
      </w:pPr>
    </w:lvl>
    <w:lvl w:ilvl="8" w:tplc="080A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" w15:restartNumberingAfterBreak="0">
    <w:nsid w:val="2B5E695D"/>
    <w:multiLevelType w:val="hybridMultilevel"/>
    <w:tmpl w:val="B52CE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1BD8"/>
    <w:multiLevelType w:val="hybridMultilevel"/>
    <w:tmpl w:val="EBB8B870"/>
    <w:lvl w:ilvl="0" w:tplc="080A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A"/>
    <w:rsid w:val="00054829"/>
    <w:rsid w:val="000748D8"/>
    <w:rsid w:val="000E7DB1"/>
    <w:rsid w:val="000F29D9"/>
    <w:rsid w:val="00253F9A"/>
    <w:rsid w:val="00332FE6"/>
    <w:rsid w:val="003A745C"/>
    <w:rsid w:val="006911AE"/>
    <w:rsid w:val="006C55C8"/>
    <w:rsid w:val="006E12EA"/>
    <w:rsid w:val="00706F04"/>
    <w:rsid w:val="00723427"/>
    <w:rsid w:val="007A79EF"/>
    <w:rsid w:val="0086077B"/>
    <w:rsid w:val="008C4197"/>
    <w:rsid w:val="009576C1"/>
    <w:rsid w:val="00A36313"/>
    <w:rsid w:val="00A43F1A"/>
    <w:rsid w:val="00AA5117"/>
    <w:rsid w:val="00AD2950"/>
    <w:rsid w:val="00B546AE"/>
    <w:rsid w:val="00BC0DAB"/>
    <w:rsid w:val="00BE0B16"/>
    <w:rsid w:val="00BF4C2A"/>
    <w:rsid w:val="00CB6BFD"/>
    <w:rsid w:val="00D95E4D"/>
    <w:rsid w:val="00DD424C"/>
    <w:rsid w:val="00EB40ED"/>
    <w:rsid w:val="00F230E1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D47099-62E6-4427-A6A0-0E0502B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2"/>
      <w:szCs w:val="22"/>
      <w:lang w:val="es-MX"/>
    </w:rPr>
  </w:style>
  <w:style w:type="paragraph" w:styleId="Puesto">
    <w:name w:val="Title"/>
    <w:basedOn w:val="Normal"/>
    <w:next w:val="Normal"/>
    <w:link w:val="PuestoCar"/>
    <w:uiPriority w:val="1"/>
    <w:qFormat/>
    <w:pPr>
      <w:spacing w:before="86"/>
      <w:ind w:left="6772"/>
    </w:pPr>
    <w:rPr>
      <w:sz w:val="28"/>
      <w:szCs w:val="28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s-MX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D4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24C"/>
    <w:rPr>
      <w:rFonts w:ascii="Times New Roman" w:hAnsi="Times New Roman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D4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4C"/>
    <w:rPr>
      <w:rFonts w:ascii="Times New Roman" w:hAnsi="Times New Roman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313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3488.clicks.dattanet.com/track/click?u=3117707&amp;p=34333438383a3139373a303a303a323a31&amp;s=9222dc86396d804075057c03a70de54f&amp;m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NOTA PROSAL-CRUZ BLANCA.docx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PROSAL-CRUZ BLANCA.docx</dc:title>
  <dc:creator>Maria Lourdes Pose</dc:creator>
  <cp:lastModifiedBy>USUARIO</cp:lastModifiedBy>
  <cp:revision>8</cp:revision>
  <cp:lastPrinted>2023-01-17T13:55:00Z</cp:lastPrinted>
  <dcterms:created xsi:type="dcterms:W3CDTF">2023-01-17T14:00:00Z</dcterms:created>
  <dcterms:modified xsi:type="dcterms:W3CDTF">2023-01-17T18:21:00Z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Producer">
    <vt:lpwstr>macOS VersiÛn 12.5.1 (CompilaciÛn 21G83) Quartz PDFContext</vt:lpwstr>
  </property>
</Properties>
</file>